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B0986" w14:textId="74313B40" w:rsidR="001069C0" w:rsidRDefault="001069C0" w:rsidP="001069C0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</w:t>
      </w:r>
    </w:p>
    <w:p w14:paraId="5C0B9CEA" w14:textId="77777777" w:rsidR="001069C0" w:rsidRDefault="001069C0" w:rsidP="001069C0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581B80A5" w14:textId="77777777" w:rsidR="001069C0" w:rsidRDefault="001069C0" w:rsidP="001069C0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FD21FF5" wp14:editId="0B20B055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231069" w14:textId="77777777" w:rsidR="001069C0" w:rsidRDefault="001069C0" w:rsidP="001069C0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06395727" w14:textId="77777777" w:rsidR="001069C0" w:rsidRPr="00AD4E46" w:rsidRDefault="001069C0" w:rsidP="001069C0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60D11FD3" w14:textId="77777777" w:rsidR="001069C0" w:rsidRDefault="001069C0" w:rsidP="001069C0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REPUBLIKA HRVATSKA</w:t>
      </w:r>
    </w:p>
    <w:p w14:paraId="51BEC562" w14:textId="77777777" w:rsidR="001069C0" w:rsidRDefault="001069C0" w:rsidP="001069C0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0195472" wp14:editId="66C9494B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MEĐIMURSKA ŽUPANIJA      </w:t>
      </w:r>
    </w:p>
    <w:p w14:paraId="1EA71160" w14:textId="77777777" w:rsidR="001069C0" w:rsidRDefault="001069C0" w:rsidP="001069C0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0A526260" w14:textId="77777777" w:rsidR="001069C0" w:rsidRDefault="001069C0" w:rsidP="001069C0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OPĆINA  DEKANOVEC </w:t>
      </w:r>
    </w:p>
    <w:p w14:paraId="1594AFD4" w14:textId="77777777" w:rsidR="001069C0" w:rsidRDefault="001069C0" w:rsidP="001069C0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OPĆINSKO VIJEĆE</w:t>
      </w:r>
    </w:p>
    <w:p w14:paraId="042A1F47" w14:textId="77777777" w:rsidR="001069C0" w:rsidRDefault="001069C0" w:rsidP="001069C0">
      <w:pPr>
        <w:spacing w:line="240" w:lineRule="auto"/>
        <w:rPr>
          <w:rFonts w:ascii="Georgia" w:hAnsi="Georgia" w:cs="Georgia"/>
          <w:sz w:val="20"/>
          <w:lang w:val="de-DE"/>
        </w:rPr>
      </w:pPr>
    </w:p>
    <w:p w14:paraId="5EFE904D" w14:textId="31949B2C" w:rsidR="001069C0" w:rsidRPr="00F64012" w:rsidRDefault="001069C0" w:rsidP="001069C0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KLASA: 024-01/25-01/0</w:t>
      </w:r>
      <w:r w:rsidR="00A849DE">
        <w:rPr>
          <w:rFonts w:ascii="Times New Roman" w:eastAsia="Calibri" w:hAnsi="Times New Roman" w:cs="Times New Roman"/>
          <w:color w:val="000000"/>
          <w:lang w:val="de-DE"/>
        </w:rPr>
        <w:t>5</w:t>
      </w:r>
    </w:p>
    <w:p w14:paraId="66F2CBF0" w14:textId="2D11C373" w:rsidR="001069C0" w:rsidRPr="00F64012" w:rsidRDefault="001069C0" w:rsidP="001069C0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URBROJ: 2109-20-02-25-</w:t>
      </w:r>
      <w:r w:rsidR="00A849DE">
        <w:rPr>
          <w:rFonts w:ascii="Times New Roman" w:eastAsia="Calibri" w:hAnsi="Times New Roman" w:cs="Times New Roman"/>
          <w:color w:val="000000"/>
          <w:lang w:val="de-DE"/>
        </w:rPr>
        <w:t>7</w:t>
      </w:r>
    </w:p>
    <w:p w14:paraId="0B869A98" w14:textId="24AF9242" w:rsidR="001069C0" w:rsidRPr="00F64012" w:rsidRDefault="001069C0" w:rsidP="001069C0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 xml:space="preserve">Dekanovec, </w:t>
      </w:r>
      <w:r w:rsidR="00A849DE">
        <w:rPr>
          <w:rFonts w:ascii="Times New Roman" w:eastAsia="Calibri" w:hAnsi="Times New Roman" w:cs="Times New Roman"/>
          <w:color w:val="000000"/>
          <w:lang w:val="de-DE"/>
        </w:rPr>
        <w:t>18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</w:t>
      </w:r>
      <w:r>
        <w:rPr>
          <w:rFonts w:ascii="Times New Roman" w:eastAsia="Calibri" w:hAnsi="Times New Roman" w:cs="Times New Roman"/>
          <w:color w:val="000000"/>
          <w:lang w:val="de-DE"/>
        </w:rPr>
        <w:t>10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.2025.</w:t>
      </w:r>
    </w:p>
    <w:p w14:paraId="27C6D5F6" w14:textId="404CFB06" w:rsidR="001069C0" w:rsidRDefault="004E2171" w:rsidP="00D14A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14:paraId="38C2C250" w14:textId="370C41F0" w:rsidR="001069C0" w:rsidRPr="003D7992" w:rsidRDefault="00080DBD" w:rsidP="00A84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992">
        <w:rPr>
          <w:rFonts w:ascii="Times New Roman" w:eastAsia="Times New Roman" w:hAnsi="Times New Roman" w:cs="Times New Roman"/>
          <w:sz w:val="24"/>
          <w:szCs w:val="24"/>
          <w:lang w:eastAsia="ar-SA"/>
        </w:rPr>
        <w:t>Na temelju članka</w:t>
      </w:r>
      <w:r w:rsidR="001069C0" w:rsidRPr="003D79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21</w:t>
      </w:r>
      <w:r w:rsidRPr="003D7992">
        <w:rPr>
          <w:rFonts w:ascii="Times New Roman" w:eastAsia="Times New Roman" w:hAnsi="Times New Roman" w:cs="Times New Roman"/>
          <w:sz w:val="24"/>
          <w:szCs w:val="24"/>
          <w:lang w:eastAsia="ar-SA"/>
        </w:rPr>
        <w:t>. Zakona o grobljima (</w:t>
      </w:r>
      <w:r w:rsidR="001069C0" w:rsidRPr="003D7992">
        <w:rPr>
          <w:rFonts w:ascii="Times New Roman" w:eastAsia="Times New Roman" w:hAnsi="Times New Roman" w:cs="Times New Roman"/>
          <w:sz w:val="24"/>
          <w:szCs w:val="24"/>
          <w:lang w:eastAsia="ar-SA"/>
        </w:rPr>
        <w:t>„Narodne novine“ broj 78/2025</w:t>
      </w:r>
      <w:r w:rsidRPr="003D7992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1069C0" w:rsidRPr="003D79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</w:t>
      </w:r>
      <w:r w:rsidR="001069C0" w:rsidRPr="003D7992">
        <w:rPr>
          <w:rFonts w:ascii="Times New Roman" w:hAnsi="Times New Roman" w:cs="Times New Roman"/>
          <w:sz w:val="24"/>
          <w:szCs w:val="24"/>
        </w:rPr>
        <w:t xml:space="preserve"> članka 31. Statuta Općine Dekanovec („Službeni glasnik Međimurske županije“ broj 3/18, 10/20, 6/21 i 4/22), Općinsko vijeće Općine Dekanovec na 3. sjednici održanoj </w:t>
      </w:r>
      <w:r w:rsidR="00A849DE">
        <w:rPr>
          <w:rFonts w:ascii="Times New Roman" w:hAnsi="Times New Roman" w:cs="Times New Roman"/>
          <w:sz w:val="24"/>
          <w:szCs w:val="24"/>
        </w:rPr>
        <w:t>18</w:t>
      </w:r>
      <w:r w:rsidR="001069C0" w:rsidRPr="003D7992">
        <w:rPr>
          <w:rFonts w:ascii="Times New Roman" w:hAnsi="Times New Roman" w:cs="Times New Roman"/>
          <w:sz w:val="24"/>
          <w:szCs w:val="24"/>
        </w:rPr>
        <w:t>.</w:t>
      </w:r>
      <w:r w:rsidR="00A849DE">
        <w:rPr>
          <w:rFonts w:ascii="Times New Roman" w:hAnsi="Times New Roman" w:cs="Times New Roman"/>
          <w:sz w:val="24"/>
          <w:szCs w:val="24"/>
        </w:rPr>
        <w:t>10</w:t>
      </w:r>
      <w:r w:rsidR="001069C0" w:rsidRPr="003D7992">
        <w:rPr>
          <w:rFonts w:ascii="Times New Roman" w:hAnsi="Times New Roman" w:cs="Times New Roman"/>
          <w:sz w:val="24"/>
          <w:szCs w:val="24"/>
        </w:rPr>
        <w:t>.2025. godine donijelo je</w:t>
      </w:r>
    </w:p>
    <w:p w14:paraId="5C4283EC" w14:textId="22A558B2" w:rsidR="00B57917" w:rsidRPr="003D7992" w:rsidRDefault="00B57917" w:rsidP="00D14A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92B4D8" w14:textId="77777777" w:rsidR="00B57917" w:rsidRPr="003D7992" w:rsidRDefault="00B57917" w:rsidP="00B579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7992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68308108" w14:textId="6FBC7EA3" w:rsidR="00B57917" w:rsidRPr="003D7992" w:rsidRDefault="00115034" w:rsidP="00B579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7992">
        <w:rPr>
          <w:rFonts w:ascii="Times New Roman" w:hAnsi="Times New Roman" w:cs="Times New Roman"/>
          <w:b/>
          <w:bCs/>
          <w:sz w:val="24"/>
          <w:szCs w:val="24"/>
        </w:rPr>
        <w:t xml:space="preserve">o visini grobnih naknada na </w:t>
      </w:r>
      <w:r w:rsidR="001069C0" w:rsidRPr="003D7992">
        <w:rPr>
          <w:rFonts w:ascii="Times New Roman" w:hAnsi="Times New Roman" w:cs="Times New Roman"/>
          <w:b/>
          <w:bCs/>
          <w:sz w:val="24"/>
          <w:szCs w:val="24"/>
        </w:rPr>
        <w:t>mjesnom groblju Dekanovec</w:t>
      </w:r>
    </w:p>
    <w:p w14:paraId="60718C32" w14:textId="075071FA" w:rsidR="00B57917" w:rsidRPr="003D7992" w:rsidRDefault="002F35EB" w:rsidP="003D79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7992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79D89A06" w14:textId="40F89DA0" w:rsidR="004E2171" w:rsidRPr="003D7992" w:rsidRDefault="00D37882" w:rsidP="003D799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 xml:space="preserve">Ovom se Odlukom propisuje visina i način plaćanja jednokratne naknade za dodjelu grobnog mjesta na neodređeno vrijeme, godišnje grobne naknade za korištenje grobnog mjesta na </w:t>
      </w:r>
      <w:r w:rsidR="001069C0" w:rsidRPr="003D7992">
        <w:rPr>
          <w:rFonts w:ascii="Times New Roman" w:hAnsi="Times New Roman"/>
          <w:sz w:val="24"/>
          <w:szCs w:val="24"/>
        </w:rPr>
        <w:t xml:space="preserve">mjesnom groblju Dekanovec, jednokratne naknade za </w:t>
      </w:r>
      <w:r w:rsidR="004039B5" w:rsidRPr="003D7992">
        <w:rPr>
          <w:rFonts w:ascii="Times New Roman" w:hAnsi="Times New Roman"/>
          <w:sz w:val="24"/>
          <w:szCs w:val="24"/>
        </w:rPr>
        <w:t xml:space="preserve">izgradnju nadgrobnog </w:t>
      </w:r>
      <w:r w:rsidR="001069C0" w:rsidRPr="003D7992">
        <w:rPr>
          <w:rFonts w:ascii="Times New Roman" w:hAnsi="Times New Roman"/>
          <w:sz w:val="24"/>
          <w:szCs w:val="24"/>
        </w:rPr>
        <w:t xml:space="preserve">spomenika, </w:t>
      </w:r>
      <w:r w:rsidR="004039B5" w:rsidRPr="003D7992">
        <w:rPr>
          <w:rFonts w:ascii="Times New Roman" w:hAnsi="Times New Roman"/>
          <w:sz w:val="24"/>
          <w:szCs w:val="24"/>
        </w:rPr>
        <w:t>jednokratne naknade za adaptaciju nadgrobnog spomenika te ostale naknade.</w:t>
      </w:r>
    </w:p>
    <w:p w14:paraId="6E375B8B" w14:textId="77777777" w:rsidR="00D37882" w:rsidRPr="003D7992" w:rsidRDefault="00D37882" w:rsidP="004039B5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E1CCBC5" w14:textId="1260F737" w:rsidR="00B57917" w:rsidRPr="003D7992" w:rsidRDefault="004E2171" w:rsidP="004E217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3D799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r w:rsidR="002F35EB" w:rsidRPr="003D7992">
        <w:rPr>
          <w:rFonts w:ascii="Times New Roman" w:hAnsi="Times New Roman"/>
          <w:b/>
          <w:bCs/>
          <w:sz w:val="24"/>
          <w:szCs w:val="24"/>
        </w:rPr>
        <w:t>Članak 2.</w:t>
      </w:r>
    </w:p>
    <w:p w14:paraId="0742BD60" w14:textId="302059A4" w:rsidR="004039B5" w:rsidRPr="003D7992" w:rsidRDefault="004039B5" w:rsidP="004E2171">
      <w:pPr>
        <w:pStyle w:val="Bezproreda"/>
        <w:rPr>
          <w:rFonts w:ascii="Times New Roman" w:hAnsi="Times New Roman"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>Za mjesno groblje Dekanovec utvrđuje se visina naknada iz članka 1. ove Odluke kako slijedi:</w:t>
      </w:r>
    </w:p>
    <w:p w14:paraId="1588D0DE" w14:textId="77777777" w:rsidR="004039B5" w:rsidRPr="003D7992" w:rsidRDefault="004039B5" w:rsidP="004E2171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195"/>
        <w:gridCol w:w="3021"/>
      </w:tblGrid>
      <w:tr w:rsidR="004039B5" w:rsidRPr="003D7992" w14:paraId="5297412F" w14:textId="77777777" w:rsidTr="009A1C14">
        <w:tc>
          <w:tcPr>
            <w:tcW w:w="851" w:type="dxa"/>
          </w:tcPr>
          <w:p w14:paraId="435979FA" w14:textId="54EC73DD" w:rsidR="004039B5" w:rsidRPr="003D7992" w:rsidRDefault="004039B5" w:rsidP="002E23CE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209612767"/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5195" w:type="dxa"/>
          </w:tcPr>
          <w:p w14:paraId="5AA9565E" w14:textId="012AA74F" w:rsidR="004039B5" w:rsidRPr="003D7992" w:rsidRDefault="004039B5" w:rsidP="002E23CE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3021" w:type="dxa"/>
          </w:tcPr>
          <w:p w14:paraId="2D63393A" w14:textId="64FB4209" w:rsidR="004039B5" w:rsidRPr="003D7992" w:rsidRDefault="004039B5" w:rsidP="002E23CE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>Visina naknade</w:t>
            </w:r>
          </w:p>
        </w:tc>
      </w:tr>
      <w:tr w:rsidR="004039B5" w:rsidRPr="003D7992" w14:paraId="22D48832" w14:textId="77777777" w:rsidTr="009A1C14">
        <w:tc>
          <w:tcPr>
            <w:tcW w:w="9067" w:type="dxa"/>
            <w:gridSpan w:val="3"/>
          </w:tcPr>
          <w:p w14:paraId="6E2BD698" w14:textId="24232BCB" w:rsidR="004039B5" w:rsidRPr="003D7992" w:rsidRDefault="004039B5" w:rsidP="004039B5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>GODIŠNJA GROBNA NAKNADA</w:t>
            </w:r>
          </w:p>
        </w:tc>
      </w:tr>
      <w:tr w:rsidR="004039B5" w:rsidRPr="003D7992" w14:paraId="0A42D087" w14:textId="77777777" w:rsidTr="009A1C14">
        <w:tc>
          <w:tcPr>
            <w:tcW w:w="851" w:type="dxa"/>
          </w:tcPr>
          <w:p w14:paraId="4E79AD1F" w14:textId="4E5EA3BA" w:rsidR="004039B5" w:rsidRPr="003D7992" w:rsidRDefault="004039B5" w:rsidP="004E217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95" w:type="dxa"/>
          </w:tcPr>
          <w:p w14:paraId="2CF358A0" w14:textId="1B60C3FA" w:rsidR="004039B5" w:rsidRPr="003D7992" w:rsidRDefault="002E23CE" w:rsidP="004E217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Godišnja grobna naknada za pojedinačno grobno mjesto</w:t>
            </w:r>
          </w:p>
        </w:tc>
        <w:tc>
          <w:tcPr>
            <w:tcW w:w="3021" w:type="dxa"/>
          </w:tcPr>
          <w:p w14:paraId="0E9BCE37" w14:textId="668EC196" w:rsidR="004039B5" w:rsidRPr="003D7992" w:rsidRDefault="002E23CE" w:rsidP="002E23C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15,00 EUR</w:t>
            </w:r>
          </w:p>
        </w:tc>
      </w:tr>
      <w:tr w:rsidR="004039B5" w:rsidRPr="003D7992" w14:paraId="223F03DE" w14:textId="77777777" w:rsidTr="009A1C14">
        <w:tc>
          <w:tcPr>
            <w:tcW w:w="851" w:type="dxa"/>
          </w:tcPr>
          <w:p w14:paraId="40467587" w14:textId="0B109AA5" w:rsidR="004039B5" w:rsidRPr="003D7992" w:rsidRDefault="004039B5" w:rsidP="004E217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95" w:type="dxa"/>
          </w:tcPr>
          <w:p w14:paraId="6A179581" w14:textId="6887C612" w:rsidR="004039B5" w:rsidRPr="003D7992" w:rsidRDefault="002E23CE" w:rsidP="004E217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Godišnja grobna naknada za dvojno grobno mjesto</w:t>
            </w:r>
          </w:p>
        </w:tc>
        <w:tc>
          <w:tcPr>
            <w:tcW w:w="3021" w:type="dxa"/>
          </w:tcPr>
          <w:p w14:paraId="25CF716C" w14:textId="20416C14" w:rsidR="004039B5" w:rsidRPr="003D7992" w:rsidRDefault="002E23CE" w:rsidP="002E23C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20,00 EUR</w:t>
            </w:r>
          </w:p>
        </w:tc>
      </w:tr>
      <w:tr w:rsidR="004039B5" w:rsidRPr="003D7992" w14:paraId="40EA8A9E" w14:textId="77777777" w:rsidTr="009A1C14">
        <w:tc>
          <w:tcPr>
            <w:tcW w:w="851" w:type="dxa"/>
          </w:tcPr>
          <w:p w14:paraId="66842800" w14:textId="2C1F8F46" w:rsidR="004039B5" w:rsidRPr="003D7992" w:rsidRDefault="002E23CE" w:rsidP="004E217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195" w:type="dxa"/>
          </w:tcPr>
          <w:p w14:paraId="76FF655C" w14:textId="1EC219FA" w:rsidR="004039B5" w:rsidRPr="003D7992" w:rsidRDefault="002E23CE" w:rsidP="004E217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Godišnja grobna naknada za grobnicu</w:t>
            </w:r>
          </w:p>
        </w:tc>
        <w:tc>
          <w:tcPr>
            <w:tcW w:w="3021" w:type="dxa"/>
          </w:tcPr>
          <w:p w14:paraId="3EE060B3" w14:textId="7B617D33" w:rsidR="004039B5" w:rsidRPr="003D7992" w:rsidRDefault="002E23CE" w:rsidP="002E23C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40,00 EUR</w:t>
            </w:r>
          </w:p>
        </w:tc>
      </w:tr>
      <w:bookmarkEnd w:id="0"/>
      <w:tr w:rsidR="002E23CE" w:rsidRPr="003D7992" w14:paraId="2A398508" w14:textId="77777777" w:rsidTr="009A1C14">
        <w:tc>
          <w:tcPr>
            <w:tcW w:w="9067" w:type="dxa"/>
            <w:gridSpan w:val="3"/>
          </w:tcPr>
          <w:p w14:paraId="71AD8E50" w14:textId="0D30BDDA" w:rsidR="002E23CE" w:rsidRPr="003D7992" w:rsidRDefault="005042D3" w:rsidP="006B204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>JEDNOKRATNA NAKNADA ZA DODJELU GROBNOG MJESTA (neodređeno vrijeme)</w:t>
            </w:r>
          </w:p>
        </w:tc>
      </w:tr>
      <w:tr w:rsidR="002E23CE" w:rsidRPr="003D7992" w14:paraId="46025D4F" w14:textId="77777777" w:rsidTr="009A1C14">
        <w:tc>
          <w:tcPr>
            <w:tcW w:w="851" w:type="dxa"/>
          </w:tcPr>
          <w:p w14:paraId="7BB14205" w14:textId="77777777" w:rsidR="002E23CE" w:rsidRPr="003D7992" w:rsidRDefault="002E23CE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95" w:type="dxa"/>
          </w:tcPr>
          <w:p w14:paraId="5A3EA9E8" w14:textId="1AF40966" w:rsidR="002E23CE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Jednokratna naknada za</w:t>
            </w:r>
            <w:r w:rsidR="00644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992">
              <w:rPr>
                <w:rFonts w:ascii="Times New Roman" w:hAnsi="Times New Roman"/>
                <w:sz w:val="24"/>
                <w:szCs w:val="24"/>
              </w:rPr>
              <w:t xml:space="preserve">dodjelu pojedinačnog grobnog mjesta za korisnike s prebivalištem na području Općine Dekanovec </w:t>
            </w:r>
          </w:p>
        </w:tc>
        <w:tc>
          <w:tcPr>
            <w:tcW w:w="3021" w:type="dxa"/>
          </w:tcPr>
          <w:p w14:paraId="31091F4B" w14:textId="4392DBDA" w:rsidR="002E23CE" w:rsidRPr="003D7992" w:rsidRDefault="005042D3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100,00</w:t>
            </w:r>
            <w:r w:rsidR="002E23CE" w:rsidRPr="003D7992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</w:tr>
      <w:tr w:rsidR="005042D3" w:rsidRPr="003D7992" w14:paraId="6599FB32" w14:textId="77777777" w:rsidTr="009A1C14">
        <w:tc>
          <w:tcPr>
            <w:tcW w:w="851" w:type="dxa"/>
          </w:tcPr>
          <w:p w14:paraId="74086948" w14:textId="669B9CDA" w:rsidR="005042D3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95" w:type="dxa"/>
          </w:tcPr>
          <w:p w14:paraId="01BBEA6B" w14:textId="58901928" w:rsidR="005042D3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Jednokratna naknada za dodjelu pojedinačnog grobnog mjesta za korisnike izvan područja Općine Dekanovec</w:t>
            </w:r>
          </w:p>
        </w:tc>
        <w:tc>
          <w:tcPr>
            <w:tcW w:w="3021" w:type="dxa"/>
          </w:tcPr>
          <w:p w14:paraId="211CB6B5" w14:textId="06144F5B" w:rsidR="005042D3" w:rsidRPr="003D7992" w:rsidRDefault="005042D3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200,00 EUR</w:t>
            </w:r>
          </w:p>
        </w:tc>
      </w:tr>
      <w:tr w:rsidR="002E23CE" w:rsidRPr="003D7992" w14:paraId="3542E187" w14:textId="77777777" w:rsidTr="009A1C14">
        <w:tc>
          <w:tcPr>
            <w:tcW w:w="851" w:type="dxa"/>
          </w:tcPr>
          <w:p w14:paraId="63C26A1A" w14:textId="6E76292D" w:rsidR="002E23CE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3</w:t>
            </w:r>
            <w:r w:rsidR="002E23CE" w:rsidRPr="003D79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95" w:type="dxa"/>
          </w:tcPr>
          <w:p w14:paraId="346D4F72" w14:textId="0F75701D" w:rsidR="002E23CE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Jednokratna naknada za</w:t>
            </w:r>
            <w:r w:rsidR="00644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992">
              <w:rPr>
                <w:rFonts w:ascii="Times New Roman" w:hAnsi="Times New Roman"/>
                <w:sz w:val="24"/>
                <w:szCs w:val="24"/>
              </w:rPr>
              <w:t>dodjelu dvojnog grobnog mjesta za korisnike s prebivalištem na području Općine Dekanovec</w:t>
            </w:r>
          </w:p>
        </w:tc>
        <w:tc>
          <w:tcPr>
            <w:tcW w:w="3021" w:type="dxa"/>
          </w:tcPr>
          <w:p w14:paraId="608DA6BF" w14:textId="740908CB" w:rsidR="002E23CE" w:rsidRPr="003D7992" w:rsidRDefault="002E23CE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20</w:t>
            </w:r>
            <w:r w:rsidR="005042D3" w:rsidRPr="003D7992">
              <w:rPr>
                <w:rFonts w:ascii="Times New Roman" w:hAnsi="Times New Roman"/>
                <w:sz w:val="24"/>
                <w:szCs w:val="24"/>
              </w:rPr>
              <w:t>0</w:t>
            </w:r>
            <w:r w:rsidRPr="003D7992">
              <w:rPr>
                <w:rFonts w:ascii="Times New Roman" w:hAnsi="Times New Roman"/>
                <w:sz w:val="24"/>
                <w:szCs w:val="24"/>
              </w:rPr>
              <w:t>,00 EUR</w:t>
            </w:r>
          </w:p>
        </w:tc>
      </w:tr>
      <w:tr w:rsidR="005042D3" w:rsidRPr="003D7992" w14:paraId="65FAE4E7" w14:textId="77777777" w:rsidTr="009A1C14">
        <w:tc>
          <w:tcPr>
            <w:tcW w:w="851" w:type="dxa"/>
          </w:tcPr>
          <w:p w14:paraId="7B24A576" w14:textId="6DA14923" w:rsidR="005042D3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95" w:type="dxa"/>
          </w:tcPr>
          <w:p w14:paraId="47EC97D4" w14:textId="44615CE1" w:rsidR="005042D3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Jednokratna naknada za dodjelu dvojnog grobnog mjesta za korisnike izvan područja Općine Dekanovec</w:t>
            </w:r>
          </w:p>
        </w:tc>
        <w:tc>
          <w:tcPr>
            <w:tcW w:w="3021" w:type="dxa"/>
          </w:tcPr>
          <w:p w14:paraId="5A897283" w14:textId="1796244B" w:rsidR="005042D3" w:rsidRPr="003D7992" w:rsidRDefault="005042D3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400,00 EUR</w:t>
            </w:r>
          </w:p>
        </w:tc>
      </w:tr>
      <w:tr w:rsidR="002E23CE" w:rsidRPr="003D7992" w14:paraId="04C895A5" w14:textId="77777777" w:rsidTr="009A1C14">
        <w:tc>
          <w:tcPr>
            <w:tcW w:w="851" w:type="dxa"/>
          </w:tcPr>
          <w:p w14:paraId="61D2C059" w14:textId="4B285B54" w:rsidR="002E23CE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2E23CE" w:rsidRPr="003D7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195" w:type="dxa"/>
          </w:tcPr>
          <w:p w14:paraId="6D29FB09" w14:textId="35EE209E" w:rsidR="002E23CE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Jednokratna naknada za</w:t>
            </w:r>
            <w:r w:rsidR="00644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992">
              <w:rPr>
                <w:rFonts w:ascii="Times New Roman" w:hAnsi="Times New Roman"/>
                <w:sz w:val="24"/>
                <w:szCs w:val="24"/>
              </w:rPr>
              <w:t>dodjelu grobnog mjesta - grobnice za korisnike s prebivalištem na području Općine Dekanovec</w:t>
            </w:r>
          </w:p>
        </w:tc>
        <w:tc>
          <w:tcPr>
            <w:tcW w:w="3021" w:type="dxa"/>
          </w:tcPr>
          <w:p w14:paraId="7E9066E7" w14:textId="32B5A95D" w:rsidR="002E23CE" w:rsidRPr="003D7992" w:rsidRDefault="005042D3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30</w:t>
            </w:r>
            <w:r w:rsidR="002E23CE" w:rsidRPr="003D7992">
              <w:rPr>
                <w:rFonts w:ascii="Times New Roman" w:hAnsi="Times New Roman"/>
                <w:sz w:val="24"/>
                <w:szCs w:val="24"/>
              </w:rPr>
              <w:t>0,00 EUR</w:t>
            </w:r>
          </w:p>
        </w:tc>
      </w:tr>
      <w:tr w:rsidR="005042D3" w:rsidRPr="003D7992" w14:paraId="7235298F" w14:textId="77777777" w:rsidTr="009A1C14">
        <w:tc>
          <w:tcPr>
            <w:tcW w:w="851" w:type="dxa"/>
          </w:tcPr>
          <w:p w14:paraId="6B1A2F5E" w14:textId="7034F0EE" w:rsidR="005042D3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95" w:type="dxa"/>
          </w:tcPr>
          <w:p w14:paraId="66980FCC" w14:textId="6F0ED7E2" w:rsidR="005042D3" w:rsidRPr="003D7992" w:rsidRDefault="005042D3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Jednokratna naknada za dodjelu grobnog mjesta - grobnice za korisnike izvan područja Općine Dekanovec</w:t>
            </w:r>
          </w:p>
        </w:tc>
        <w:tc>
          <w:tcPr>
            <w:tcW w:w="3021" w:type="dxa"/>
          </w:tcPr>
          <w:p w14:paraId="72A2FF9D" w14:textId="31DEBE09" w:rsidR="005042D3" w:rsidRPr="003D7992" w:rsidRDefault="005042D3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600,00 EUR</w:t>
            </w:r>
          </w:p>
        </w:tc>
      </w:tr>
      <w:tr w:rsidR="00345A3E" w:rsidRPr="003D7992" w14:paraId="176909E6" w14:textId="77777777" w:rsidTr="009A1C14">
        <w:tc>
          <w:tcPr>
            <w:tcW w:w="9067" w:type="dxa"/>
            <w:gridSpan w:val="3"/>
          </w:tcPr>
          <w:p w14:paraId="318D5E57" w14:textId="597AE259" w:rsidR="00345A3E" w:rsidRPr="003D7992" w:rsidRDefault="00345A3E" w:rsidP="006B204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>JEDNOKRATNA NAKNADA ZA IZGRADNJU</w:t>
            </w:r>
            <w:r w:rsidR="009A1C14"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NOVOG</w:t>
            </w:r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SPOMENIKA</w:t>
            </w:r>
          </w:p>
        </w:tc>
      </w:tr>
      <w:tr w:rsidR="00345A3E" w:rsidRPr="003D7992" w14:paraId="3EE6EEFC" w14:textId="77777777" w:rsidTr="009A1C14">
        <w:tc>
          <w:tcPr>
            <w:tcW w:w="851" w:type="dxa"/>
          </w:tcPr>
          <w:p w14:paraId="33AD6B50" w14:textId="77777777" w:rsidR="00345A3E" w:rsidRPr="003D7992" w:rsidRDefault="00345A3E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95" w:type="dxa"/>
          </w:tcPr>
          <w:p w14:paraId="1EFA9CBA" w14:textId="0807080F" w:rsidR="00345A3E" w:rsidRPr="003D7992" w:rsidRDefault="00345A3E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Jednokratna naknada za iz</w:t>
            </w:r>
            <w:r w:rsidR="009A1C14" w:rsidRPr="003D7992">
              <w:rPr>
                <w:rFonts w:ascii="Times New Roman" w:hAnsi="Times New Roman"/>
                <w:sz w:val="24"/>
                <w:szCs w:val="24"/>
              </w:rPr>
              <w:t>g</w:t>
            </w:r>
            <w:r w:rsidRPr="003D7992">
              <w:rPr>
                <w:rFonts w:ascii="Times New Roman" w:hAnsi="Times New Roman"/>
                <w:sz w:val="24"/>
                <w:szCs w:val="24"/>
              </w:rPr>
              <w:t xml:space="preserve">radnju </w:t>
            </w:r>
            <w:r w:rsidR="009A1C14" w:rsidRPr="003D7992">
              <w:rPr>
                <w:rFonts w:ascii="Times New Roman" w:hAnsi="Times New Roman"/>
                <w:sz w:val="24"/>
                <w:szCs w:val="24"/>
              </w:rPr>
              <w:t>novog spomenika – pojedinačno grobno mjesto</w:t>
            </w:r>
          </w:p>
        </w:tc>
        <w:tc>
          <w:tcPr>
            <w:tcW w:w="3021" w:type="dxa"/>
          </w:tcPr>
          <w:p w14:paraId="0F5B5C0C" w14:textId="0E220A6B" w:rsidR="00345A3E" w:rsidRPr="003D7992" w:rsidRDefault="009A1C14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100</w:t>
            </w:r>
            <w:r w:rsidR="00345A3E" w:rsidRPr="003D7992">
              <w:rPr>
                <w:rFonts w:ascii="Times New Roman" w:hAnsi="Times New Roman"/>
                <w:sz w:val="24"/>
                <w:szCs w:val="24"/>
              </w:rPr>
              <w:t>,00 EUR</w:t>
            </w:r>
          </w:p>
        </w:tc>
      </w:tr>
      <w:tr w:rsidR="00345A3E" w:rsidRPr="003D7992" w14:paraId="6FE1480E" w14:textId="77777777" w:rsidTr="009A1C14">
        <w:tc>
          <w:tcPr>
            <w:tcW w:w="851" w:type="dxa"/>
          </w:tcPr>
          <w:p w14:paraId="3C6AFCFC" w14:textId="77777777" w:rsidR="00345A3E" w:rsidRPr="003D7992" w:rsidRDefault="00345A3E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95" w:type="dxa"/>
          </w:tcPr>
          <w:p w14:paraId="6F78154D" w14:textId="48E725BE" w:rsidR="00345A3E" w:rsidRPr="003D7992" w:rsidRDefault="009A1C14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Jednokratna naknada za izgradnju novog spomenika – dvojno grobno mjesto</w:t>
            </w:r>
          </w:p>
        </w:tc>
        <w:tc>
          <w:tcPr>
            <w:tcW w:w="3021" w:type="dxa"/>
          </w:tcPr>
          <w:p w14:paraId="6CD62F4B" w14:textId="6793BF65" w:rsidR="00345A3E" w:rsidRPr="003D7992" w:rsidRDefault="009A1C14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150</w:t>
            </w:r>
            <w:r w:rsidR="00345A3E" w:rsidRPr="003D7992">
              <w:rPr>
                <w:rFonts w:ascii="Times New Roman" w:hAnsi="Times New Roman"/>
                <w:sz w:val="24"/>
                <w:szCs w:val="24"/>
              </w:rPr>
              <w:t>,00 EUR</w:t>
            </w:r>
          </w:p>
        </w:tc>
      </w:tr>
      <w:tr w:rsidR="00345A3E" w:rsidRPr="003D7992" w14:paraId="39B9C25A" w14:textId="77777777" w:rsidTr="009A1C14">
        <w:tc>
          <w:tcPr>
            <w:tcW w:w="851" w:type="dxa"/>
          </w:tcPr>
          <w:p w14:paraId="30962C03" w14:textId="77777777" w:rsidR="00345A3E" w:rsidRPr="003D7992" w:rsidRDefault="00345A3E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195" w:type="dxa"/>
          </w:tcPr>
          <w:p w14:paraId="0C232A5D" w14:textId="1398C70A" w:rsidR="00345A3E" w:rsidRPr="003D7992" w:rsidRDefault="009A1C14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Jednokratna naknada za izgradnju novog spomenika - grobnica</w:t>
            </w:r>
          </w:p>
        </w:tc>
        <w:tc>
          <w:tcPr>
            <w:tcW w:w="3021" w:type="dxa"/>
          </w:tcPr>
          <w:p w14:paraId="3C1CD8E6" w14:textId="1B620A33" w:rsidR="00345A3E" w:rsidRPr="003D7992" w:rsidRDefault="009A1C14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250</w:t>
            </w:r>
            <w:r w:rsidR="00345A3E" w:rsidRPr="003D7992">
              <w:rPr>
                <w:rFonts w:ascii="Times New Roman" w:hAnsi="Times New Roman"/>
                <w:sz w:val="24"/>
                <w:szCs w:val="24"/>
              </w:rPr>
              <w:t>,00 EUR</w:t>
            </w:r>
          </w:p>
        </w:tc>
      </w:tr>
      <w:tr w:rsidR="009A1C14" w:rsidRPr="003D7992" w14:paraId="1BB73025" w14:textId="77777777" w:rsidTr="009A1C14">
        <w:tc>
          <w:tcPr>
            <w:tcW w:w="9067" w:type="dxa"/>
            <w:gridSpan w:val="3"/>
          </w:tcPr>
          <w:p w14:paraId="6ADC2CFF" w14:textId="3E01E847" w:rsidR="009A1C14" w:rsidRPr="003D7992" w:rsidRDefault="009A1C14" w:rsidP="006B204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>JEDNOKRATNA NAKNADA ZA ADAPTACIJU SPOMENIKA</w:t>
            </w:r>
          </w:p>
        </w:tc>
      </w:tr>
      <w:tr w:rsidR="009A1C14" w:rsidRPr="003D7992" w14:paraId="79675837" w14:textId="77777777" w:rsidTr="009A1C14">
        <w:tc>
          <w:tcPr>
            <w:tcW w:w="851" w:type="dxa"/>
          </w:tcPr>
          <w:p w14:paraId="5DBEB882" w14:textId="77777777" w:rsidR="009A1C14" w:rsidRPr="003D7992" w:rsidRDefault="009A1C14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95" w:type="dxa"/>
          </w:tcPr>
          <w:p w14:paraId="78B92E7C" w14:textId="0055A732" w:rsidR="009A1C14" w:rsidRPr="003D7992" w:rsidRDefault="009A1C14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 xml:space="preserve">Jednokratna naknada za </w:t>
            </w:r>
            <w:r w:rsidR="006443C4">
              <w:rPr>
                <w:rFonts w:ascii="Times New Roman" w:hAnsi="Times New Roman"/>
                <w:sz w:val="24"/>
                <w:szCs w:val="24"/>
              </w:rPr>
              <w:t>adaptaciju</w:t>
            </w:r>
            <w:r w:rsidRPr="003D7992">
              <w:rPr>
                <w:rFonts w:ascii="Times New Roman" w:hAnsi="Times New Roman"/>
                <w:sz w:val="24"/>
                <w:szCs w:val="24"/>
              </w:rPr>
              <w:t xml:space="preserve"> spomenika </w:t>
            </w:r>
          </w:p>
        </w:tc>
        <w:tc>
          <w:tcPr>
            <w:tcW w:w="3021" w:type="dxa"/>
          </w:tcPr>
          <w:p w14:paraId="73395463" w14:textId="63A868C9" w:rsidR="009A1C14" w:rsidRPr="003D7992" w:rsidRDefault="009A1C14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50,00 EUR</w:t>
            </w:r>
          </w:p>
        </w:tc>
      </w:tr>
      <w:tr w:rsidR="009A1C14" w:rsidRPr="003D7992" w14:paraId="07817F40" w14:textId="77777777" w:rsidTr="009A1C14">
        <w:tc>
          <w:tcPr>
            <w:tcW w:w="9067" w:type="dxa"/>
            <w:gridSpan w:val="3"/>
          </w:tcPr>
          <w:p w14:paraId="4EC8C6DA" w14:textId="7D4A1FC3" w:rsidR="009A1C14" w:rsidRPr="003D7992" w:rsidRDefault="009A1C14" w:rsidP="006B204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>UČEŠĆE U IZGRADNJI INFRASTUKTURE</w:t>
            </w:r>
          </w:p>
        </w:tc>
      </w:tr>
      <w:tr w:rsidR="009A1C14" w:rsidRPr="003D7992" w14:paraId="4C54F931" w14:textId="77777777" w:rsidTr="009A1C14">
        <w:tc>
          <w:tcPr>
            <w:tcW w:w="851" w:type="dxa"/>
          </w:tcPr>
          <w:p w14:paraId="0DFB7CDD" w14:textId="77777777" w:rsidR="009A1C14" w:rsidRPr="003D7992" w:rsidRDefault="009A1C14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95" w:type="dxa"/>
          </w:tcPr>
          <w:p w14:paraId="03F1F01F" w14:textId="1BAA4A9F" w:rsidR="009A1C14" w:rsidRPr="003D7992" w:rsidRDefault="009A1C14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Korisnici grobnih mjesta s prebivalištem izvan područja Općine Dekanovec na ime učešća u izgradnji infrastrukture i objekata na groblju prilikom ukopa plaća</w:t>
            </w:r>
            <w:r w:rsidR="00990299">
              <w:rPr>
                <w:rFonts w:ascii="Times New Roman" w:hAnsi="Times New Roman"/>
                <w:sz w:val="24"/>
                <w:szCs w:val="24"/>
              </w:rPr>
              <w:t>ju</w:t>
            </w:r>
            <w:r w:rsidRPr="003D7992">
              <w:rPr>
                <w:rFonts w:ascii="Times New Roman" w:hAnsi="Times New Roman"/>
                <w:sz w:val="24"/>
                <w:szCs w:val="24"/>
              </w:rPr>
              <w:t xml:space="preserve"> naknadu za učešće u izgradnji objekata na groblju </w:t>
            </w:r>
          </w:p>
        </w:tc>
        <w:tc>
          <w:tcPr>
            <w:tcW w:w="3021" w:type="dxa"/>
          </w:tcPr>
          <w:p w14:paraId="739593D3" w14:textId="597127C3" w:rsidR="009A1C14" w:rsidRPr="003D7992" w:rsidRDefault="009A1C14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150,00 EUR</w:t>
            </w:r>
          </w:p>
        </w:tc>
      </w:tr>
      <w:tr w:rsidR="009A1C14" w:rsidRPr="003D7992" w14:paraId="72F83C0E" w14:textId="77777777" w:rsidTr="009A1C14">
        <w:tc>
          <w:tcPr>
            <w:tcW w:w="9067" w:type="dxa"/>
            <w:gridSpan w:val="3"/>
          </w:tcPr>
          <w:p w14:paraId="1ADEDE06" w14:textId="79A5CAD1" w:rsidR="009A1C14" w:rsidRPr="003D7992" w:rsidRDefault="009A1C14" w:rsidP="006B204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992">
              <w:rPr>
                <w:rFonts w:ascii="Times New Roman" w:hAnsi="Times New Roman"/>
                <w:b/>
                <w:bCs/>
                <w:sz w:val="24"/>
                <w:szCs w:val="24"/>
              </w:rPr>
              <w:t>KORIŠTENJE MRTVAČNICE</w:t>
            </w:r>
          </w:p>
        </w:tc>
      </w:tr>
      <w:tr w:rsidR="009A1C14" w:rsidRPr="003D7992" w14:paraId="06015114" w14:textId="77777777" w:rsidTr="009A1C14">
        <w:tc>
          <w:tcPr>
            <w:tcW w:w="851" w:type="dxa"/>
          </w:tcPr>
          <w:p w14:paraId="3824E7E9" w14:textId="77777777" w:rsidR="009A1C14" w:rsidRPr="003D7992" w:rsidRDefault="009A1C14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95" w:type="dxa"/>
          </w:tcPr>
          <w:p w14:paraId="4896532B" w14:textId="77777777" w:rsidR="009A1C14" w:rsidRPr="003D7992" w:rsidRDefault="009A1C14" w:rsidP="006B2041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Korištenje mrtvačnice – u cijenu ulazi:</w:t>
            </w:r>
          </w:p>
          <w:p w14:paraId="42B3A87D" w14:textId="77777777" w:rsidR="009A1C14" w:rsidRPr="003D7992" w:rsidRDefault="009A1C14" w:rsidP="009A1C14">
            <w:pPr>
              <w:pStyle w:val="Bezproreda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Korištenje WC-a</w:t>
            </w:r>
          </w:p>
          <w:p w14:paraId="7585B035" w14:textId="77777777" w:rsidR="009A1C14" w:rsidRPr="003D7992" w:rsidRDefault="009A1C14" w:rsidP="009A1C14">
            <w:pPr>
              <w:pStyle w:val="Bezproreda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Korištenje zasebne prostorije</w:t>
            </w:r>
          </w:p>
          <w:p w14:paraId="03701D94" w14:textId="77777777" w:rsidR="009A1C14" w:rsidRPr="003D7992" w:rsidRDefault="009A1C14" w:rsidP="009A1C14">
            <w:pPr>
              <w:pStyle w:val="Bezproreda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Korištenje mrtvačnice 2 dana</w:t>
            </w:r>
          </w:p>
          <w:p w14:paraId="4665C5A6" w14:textId="77777777" w:rsidR="009A1C14" w:rsidRPr="003D7992" w:rsidRDefault="009A1C14" w:rsidP="009A1C14">
            <w:pPr>
              <w:pStyle w:val="Bezproreda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Korištenje električne energije, vode</w:t>
            </w:r>
          </w:p>
          <w:p w14:paraId="5350D7BD" w14:textId="77777777" w:rsidR="009A1C14" w:rsidRPr="003D7992" w:rsidRDefault="009A1C14" w:rsidP="009A1C14">
            <w:pPr>
              <w:pStyle w:val="Bezproreda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Korištenje razglasa</w:t>
            </w:r>
          </w:p>
          <w:p w14:paraId="7AE1B52D" w14:textId="497D22CC" w:rsidR="009A1C14" w:rsidRPr="003D7992" w:rsidRDefault="009A1C14" w:rsidP="009A1C14">
            <w:pPr>
              <w:pStyle w:val="Bezproreda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D7992">
              <w:rPr>
                <w:rFonts w:ascii="Times New Roman" w:hAnsi="Times New Roman"/>
                <w:sz w:val="24"/>
                <w:szCs w:val="24"/>
              </w:rPr>
              <w:t>Čišćenje nakon korištenja</w:t>
            </w:r>
          </w:p>
        </w:tc>
        <w:tc>
          <w:tcPr>
            <w:tcW w:w="3021" w:type="dxa"/>
          </w:tcPr>
          <w:p w14:paraId="3FF06FE4" w14:textId="12912518" w:rsidR="009A1C14" w:rsidRPr="003D7992" w:rsidRDefault="006443C4" w:rsidP="006B2041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A1C14" w:rsidRPr="003D7992">
              <w:rPr>
                <w:rFonts w:ascii="Times New Roman" w:hAnsi="Times New Roman"/>
                <w:sz w:val="24"/>
                <w:szCs w:val="24"/>
              </w:rPr>
              <w:t>0,00 EUR</w:t>
            </w:r>
          </w:p>
        </w:tc>
      </w:tr>
    </w:tbl>
    <w:p w14:paraId="78100FBD" w14:textId="77777777" w:rsidR="004039B5" w:rsidRPr="003D7992" w:rsidRDefault="004039B5" w:rsidP="004E2171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14:paraId="4CED2645" w14:textId="375E8F42" w:rsidR="0093634E" w:rsidRDefault="0093634E" w:rsidP="0093634E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3D799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Članak 3.</w:t>
      </w:r>
    </w:p>
    <w:p w14:paraId="1BEA73AA" w14:textId="77777777" w:rsidR="00B57D91" w:rsidRPr="003D7992" w:rsidRDefault="00B57D91" w:rsidP="0093634E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14:paraId="49711493" w14:textId="6EAE3F20" w:rsidR="0093634E" w:rsidRPr="003D7992" w:rsidRDefault="0093634E" w:rsidP="00D37882">
      <w:pPr>
        <w:pStyle w:val="Default"/>
        <w:jc w:val="both"/>
        <w:rPr>
          <w:rFonts w:ascii="Times New Roman" w:hAnsi="Times New Roman" w:cs="Times New Roman"/>
          <w:bCs/>
        </w:rPr>
      </w:pPr>
      <w:r w:rsidRPr="003D7992">
        <w:rPr>
          <w:rFonts w:ascii="Times New Roman" w:hAnsi="Times New Roman" w:cs="Times New Roman"/>
          <w:bCs/>
        </w:rPr>
        <w:t>Naknade iz članka 1. ove Odluke uplaćuju se jednokratno na žiro-račun Općine Dekanovec i prihod su proračuna Općine Dekanovec.</w:t>
      </w:r>
    </w:p>
    <w:p w14:paraId="1E492D19" w14:textId="77777777" w:rsidR="0093634E" w:rsidRPr="003D7992" w:rsidRDefault="0093634E" w:rsidP="00D37882">
      <w:pPr>
        <w:pStyle w:val="Default"/>
        <w:jc w:val="both"/>
        <w:rPr>
          <w:rFonts w:ascii="Times New Roman" w:hAnsi="Times New Roman" w:cs="Times New Roman"/>
          <w:bCs/>
        </w:rPr>
      </w:pPr>
    </w:p>
    <w:p w14:paraId="41DA5CF1" w14:textId="4B5CB76F" w:rsidR="0093634E" w:rsidRPr="003D7992" w:rsidRDefault="0093634E" w:rsidP="00D37882">
      <w:pPr>
        <w:pStyle w:val="Default"/>
        <w:jc w:val="both"/>
        <w:rPr>
          <w:rFonts w:ascii="Times New Roman" w:hAnsi="Times New Roman" w:cs="Times New Roman"/>
          <w:bCs/>
        </w:rPr>
      </w:pPr>
      <w:r w:rsidRPr="003D7992">
        <w:rPr>
          <w:rFonts w:ascii="Times New Roman" w:hAnsi="Times New Roman" w:cs="Times New Roman"/>
          <w:bCs/>
        </w:rPr>
        <w:t>Godišnja grobna naknada plaća se jednom godišnje u cjelokupnom iznosu i to najkasnije do 30. lipnja tekuće godine putem uplatnice koje dostavlja Jedinstveni upravni odjel Općine Dekanovec.</w:t>
      </w:r>
    </w:p>
    <w:p w14:paraId="7F4E1E73" w14:textId="77777777" w:rsidR="0093634E" w:rsidRPr="003D7992" w:rsidRDefault="0093634E" w:rsidP="00D37882">
      <w:pPr>
        <w:pStyle w:val="Default"/>
        <w:jc w:val="both"/>
        <w:rPr>
          <w:rFonts w:ascii="Times New Roman" w:hAnsi="Times New Roman" w:cs="Times New Roman"/>
          <w:bCs/>
        </w:rPr>
      </w:pPr>
    </w:p>
    <w:p w14:paraId="736B9783" w14:textId="37566476" w:rsidR="0093634E" w:rsidRPr="003D7992" w:rsidRDefault="0093634E" w:rsidP="00D37882">
      <w:pPr>
        <w:pStyle w:val="Default"/>
        <w:jc w:val="both"/>
        <w:rPr>
          <w:rFonts w:ascii="Times New Roman" w:hAnsi="Times New Roman" w:cs="Times New Roman"/>
          <w:bCs/>
        </w:rPr>
      </w:pPr>
      <w:r w:rsidRPr="003D7992">
        <w:rPr>
          <w:rFonts w:ascii="Times New Roman" w:hAnsi="Times New Roman" w:cs="Times New Roman"/>
          <w:bCs/>
        </w:rPr>
        <w:t xml:space="preserve">Za grobno mjesto za koje godišnja grobna naknada nije plaćena unatrag 10 godina Jedinstveni upravni odjel će </w:t>
      </w:r>
      <w:r w:rsidR="002B11B7" w:rsidRPr="003D7992">
        <w:rPr>
          <w:rFonts w:ascii="Times New Roman" w:hAnsi="Times New Roman" w:cs="Times New Roman"/>
          <w:bCs/>
        </w:rPr>
        <w:t>postupiti sukladno članku 23. Zakona o grobljima.</w:t>
      </w:r>
    </w:p>
    <w:p w14:paraId="37E513FA" w14:textId="77777777" w:rsidR="0093634E" w:rsidRPr="003D7992" w:rsidRDefault="0093634E" w:rsidP="00D37882">
      <w:pPr>
        <w:pStyle w:val="Default"/>
        <w:jc w:val="both"/>
        <w:rPr>
          <w:rFonts w:ascii="Times New Roman" w:hAnsi="Times New Roman" w:cs="Times New Roman"/>
          <w:bCs/>
        </w:rPr>
      </w:pPr>
    </w:p>
    <w:p w14:paraId="3E113EC3" w14:textId="28736CE1" w:rsidR="002B11B7" w:rsidRPr="00A849DE" w:rsidRDefault="00D37882" w:rsidP="00A849DE">
      <w:pPr>
        <w:pStyle w:val="Default"/>
        <w:jc w:val="both"/>
        <w:rPr>
          <w:rFonts w:ascii="Times New Roman" w:hAnsi="Times New Roman" w:cs="Times New Roman"/>
          <w:bCs/>
        </w:rPr>
      </w:pPr>
      <w:r w:rsidRPr="003D7992">
        <w:rPr>
          <w:rFonts w:ascii="Times New Roman" w:hAnsi="Times New Roman" w:cs="Times New Roman"/>
          <w:bCs/>
        </w:rPr>
        <w:t>Naknada za korištenje grobnog mjesta na neodređeno vrijeme plaća se prilikom dodjele istog korisniku</w:t>
      </w:r>
      <w:r w:rsidR="002B11B7" w:rsidRPr="003D7992">
        <w:rPr>
          <w:rFonts w:ascii="Times New Roman" w:hAnsi="Times New Roman" w:cs="Times New Roman"/>
          <w:bCs/>
        </w:rPr>
        <w:t>, a na temelju Rješenja o dodjeli grobnog mjesta kojeg izdaje Upr</w:t>
      </w:r>
      <w:r w:rsidR="00DD0EF0">
        <w:rPr>
          <w:rFonts w:ascii="Times New Roman" w:hAnsi="Times New Roman" w:cs="Times New Roman"/>
          <w:bCs/>
        </w:rPr>
        <w:t>avitelj groblja.</w:t>
      </w:r>
      <w:r w:rsidR="004E2171" w:rsidRPr="003D7992">
        <w:rPr>
          <w:rFonts w:ascii="Times New Roman" w:hAnsi="Times New Roman"/>
        </w:rPr>
        <w:t xml:space="preserve">                         </w:t>
      </w:r>
      <w:r w:rsidR="00FD7150" w:rsidRPr="003D7992">
        <w:rPr>
          <w:rFonts w:ascii="Times New Roman" w:hAnsi="Times New Roman"/>
        </w:rPr>
        <w:t xml:space="preserve">  </w:t>
      </w:r>
    </w:p>
    <w:p w14:paraId="72095745" w14:textId="77777777" w:rsidR="00DD0EF0" w:rsidRDefault="00DD0EF0" w:rsidP="002B11B7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209614954"/>
    </w:p>
    <w:p w14:paraId="59DAEC09" w14:textId="6F24CE40" w:rsidR="00B57917" w:rsidRDefault="004E2171" w:rsidP="002B11B7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3D7992">
        <w:rPr>
          <w:rFonts w:ascii="Times New Roman" w:hAnsi="Times New Roman"/>
          <w:b/>
          <w:bCs/>
          <w:sz w:val="24"/>
          <w:szCs w:val="24"/>
        </w:rPr>
        <w:t xml:space="preserve">Članak </w:t>
      </w:r>
      <w:r w:rsidR="002B11B7" w:rsidRPr="003D7992">
        <w:rPr>
          <w:rFonts w:ascii="Times New Roman" w:hAnsi="Times New Roman"/>
          <w:b/>
          <w:bCs/>
          <w:sz w:val="24"/>
          <w:szCs w:val="24"/>
        </w:rPr>
        <w:t>4</w:t>
      </w:r>
      <w:r w:rsidRPr="003D7992">
        <w:rPr>
          <w:rFonts w:ascii="Times New Roman" w:hAnsi="Times New Roman"/>
          <w:b/>
          <w:bCs/>
          <w:sz w:val="24"/>
          <w:szCs w:val="24"/>
        </w:rPr>
        <w:t>.</w:t>
      </w:r>
    </w:p>
    <w:p w14:paraId="74BC8F83" w14:textId="77777777" w:rsidR="00B57D91" w:rsidRPr="003D7992" w:rsidRDefault="00B57D91" w:rsidP="002B11B7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8A18060" w14:textId="6B65F32A" w:rsidR="00B07B49" w:rsidRPr="003D7992" w:rsidRDefault="002F35EB" w:rsidP="004E2171">
      <w:pPr>
        <w:pStyle w:val="Bezproreda"/>
        <w:rPr>
          <w:rFonts w:ascii="Times New Roman" w:hAnsi="Times New Roman"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 xml:space="preserve">Prihodi od </w:t>
      </w:r>
      <w:r w:rsidR="002B11B7" w:rsidRPr="003D7992">
        <w:rPr>
          <w:rFonts w:ascii="Times New Roman" w:hAnsi="Times New Roman"/>
          <w:sz w:val="24"/>
          <w:szCs w:val="24"/>
        </w:rPr>
        <w:t>grobnih naknada</w:t>
      </w:r>
      <w:r w:rsidRPr="003D7992">
        <w:rPr>
          <w:rFonts w:ascii="Times New Roman" w:hAnsi="Times New Roman"/>
          <w:sz w:val="24"/>
          <w:szCs w:val="24"/>
        </w:rPr>
        <w:t xml:space="preserve"> prihodi su Proračuna Općine </w:t>
      </w:r>
      <w:r w:rsidR="002B11B7" w:rsidRPr="003D7992">
        <w:rPr>
          <w:rFonts w:ascii="Times New Roman" w:hAnsi="Times New Roman"/>
          <w:sz w:val="24"/>
          <w:szCs w:val="24"/>
        </w:rPr>
        <w:t>Dekanovec</w:t>
      </w:r>
      <w:r w:rsidRPr="003D7992">
        <w:rPr>
          <w:rFonts w:ascii="Times New Roman" w:hAnsi="Times New Roman"/>
          <w:sz w:val="24"/>
          <w:szCs w:val="24"/>
        </w:rPr>
        <w:t xml:space="preserve"> i </w:t>
      </w:r>
      <w:r w:rsidR="00113C6A" w:rsidRPr="003D7992">
        <w:rPr>
          <w:rFonts w:ascii="Times New Roman" w:hAnsi="Times New Roman"/>
          <w:sz w:val="24"/>
          <w:szCs w:val="24"/>
        </w:rPr>
        <w:t>koriste</w:t>
      </w:r>
      <w:r w:rsidRPr="003D7992">
        <w:rPr>
          <w:rFonts w:ascii="Times New Roman" w:hAnsi="Times New Roman"/>
          <w:sz w:val="24"/>
          <w:szCs w:val="24"/>
        </w:rPr>
        <w:t xml:space="preserve"> se za uređenje i održavanje groblja</w:t>
      </w:r>
      <w:r w:rsidR="00113C6A" w:rsidRPr="003D7992">
        <w:rPr>
          <w:rFonts w:ascii="Times New Roman" w:hAnsi="Times New Roman"/>
          <w:sz w:val="24"/>
          <w:szCs w:val="24"/>
        </w:rPr>
        <w:t xml:space="preserve"> koj</w:t>
      </w:r>
      <w:r w:rsidR="002B11B7" w:rsidRPr="003D7992">
        <w:rPr>
          <w:rFonts w:ascii="Times New Roman" w:hAnsi="Times New Roman"/>
          <w:sz w:val="24"/>
          <w:szCs w:val="24"/>
        </w:rPr>
        <w:t>e je</w:t>
      </w:r>
      <w:r w:rsidR="00113C6A" w:rsidRPr="003D7992">
        <w:rPr>
          <w:rFonts w:ascii="Times New Roman" w:hAnsi="Times New Roman"/>
          <w:sz w:val="24"/>
          <w:szCs w:val="24"/>
        </w:rPr>
        <w:t xml:space="preserve"> </w:t>
      </w:r>
      <w:r w:rsidR="002B11B7" w:rsidRPr="003D7992">
        <w:rPr>
          <w:rFonts w:ascii="Times New Roman" w:hAnsi="Times New Roman"/>
          <w:sz w:val="24"/>
          <w:szCs w:val="24"/>
        </w:rPr>
        <w:t xml:space="preserve">u </w:t>
      </w:r>
      <w:r w:rsidR="00113C6A" w:rsidRPr="003D7992">
        <w:rPr>
          <w:rFonts w:ascii="Times New Roman" w:hAnsi="Times New Roman"/>
          <w:sz w:val="24"/>
          <w:szCs w:val="24"/>
        </w:rPr>
        <w:t xml:space="preserve">vlasništvu Općine </w:t>
      </w:r>
      <w:r w:rsidR="002B11B7" w:rsidRPr="003D7992">
        <w:rPr>
          <w:rFonts w:ascii="Times New Roman" w:hAnsi="Times New Roman"/>
          <w:sz w:val="24"/>
          <w:szCs w:val="24"/>
        </w:rPr>
        <w:t>Dekanovec</w:t>
      </w:r>
      <w:r w:rsidRPr="003D7992">
        <w:rPr>
          <w:rFonts w:ascii="Times New Roman" w:hAnsi="Times New Roman"/>
          <w:sz w:val="24"/>
          <w:szCs w:val="24"/>
        </w:rPr>
        <w:t>.</w:t>
      </w:r>
    </w:p>
    <w:bookmarkEnd w:id="1"/>
    <w:p w14:paraId="6510FE4F" w14:textId="77777777" w:rsidR="00B07B49" w:rsidRPr="003D7992" w:rsidRDefault="00B07B49" w:rsidP="004E2171">
      <w:pPr>
        <w:pStyle w:val="Bezproreda"/>
        <w:rPr>
          <w:rFonts w:ascii="Times New Roman" w:hAnsi="Times New Roman"/>
          <w:sz w:val="24"/>
          <w:szCs w:val="24"/>
        </w:rPr>
      </w:pPr>
    </w:p>
    <w:p w14:paraId="075C3DE7" w14:textId="77777777" w:rsidR="00B57D91" w:rsidRDefault="00B57D91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436355" w14:textId="77777777" w:rsidR="00B57D91" w:rsidRDefault="00B57D91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0819E6" w14:textId="77777777" w:rsidR="00B57D91" w:rsidRDefault="00B57D91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4685DF" w14:textId="77777777" w:rsidR="00B57D91" w:rsidRDefault="00B57D91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FF99BB" w14:textId="77777777" w:rsidR="00B57D91" w:rsidRDefault="00B57D91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323F17" w14:textId="77777777" w:rsidR="00B57D91" w:rsidRDefault="00B57D91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41C53D" w14:textId="77777777" w:rsidR="00B57D91" w:rsidRDefault="00B57D91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64EE1A4" w14:textId="77777777" w:rsidR="00B57D91" w:rsidRDefault="00B57D91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F546E7" w14:textId="74387E36" w:rsidR="000F27E8" w:rsidRDefault="000F27E8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3D7992">
        <w:rPr>
          <w:rFonts w:ascii="Times New Roman" w:hAnsi="Times New Roman"/>
          <w:b/>
          <w:bCs/>
          <w:sz w:val="24"/>
          <w:szCs w:val="24"/>
        </w:rPr>
        <w:t>Članak 5.</w:t>
      </w:r>
    </w:p>
    <w:p w14:paraId="5D42F937" w14:textId="77777777" w:rsidR="00B57D91" w:rsidRPr="003D7992" w:rsidRDefault="00B57D91" w:rsidP="000F27E8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03EFCB" w14:textId="18C55659" w:rsidR="000F27E8" w:rsidRPr="003D7992" w:rsidRDefault="000F27E8" w:rsidP="000F27E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 xml:space="preserve">Stupanjem na snagu ove Odluke prestaje važiti Odluka o određivanju visine naknade za korištenje grobnog mjesta („Službeni glasnik Međimurske županije“ broj </w:t>
      </w:r>
      <w:r w:rsidR="008C249A">
        <w:rPr>
          <w:rFonts w:ascii="Times New Roman" w:hAnsi="Times New Roman"/>
          <w:sz w:val="24"/>
          <w:szCs w:val="24"/>
        </w:rPr>
        <w:t>8</w:t>
      </w:r>
      <w:r w:rsidRPr="003D7992">
        <w:rPr>
          <w:rFonts w:ascii="Times New Roman" w:hAnsi="Times New Roman"/>
          <w:sz w:val="24"/>
          <w:szCs w:val="24"/>
        </w:rPr>
        <w:t>/05), Odluka o određivanju visine naknade za</w:t>
      </w:r>
      <w:r w:rsidR="00B57D91">
        <w:rPr>
          <w:rFonts w:ascii="Times New Roman" w:hAnsi="Times New Roman"/>
          <w:sz w:val="24"/>
          <w:szCs w:val="24"/>
        </w:rPr>
        <w:t xml:space="preserve"> dodjelu grobnog mjesta na korištenje</w:t>
      </w:r>
      <w:r w:rsidRPr="003D7992">
        <w:rPr>
          <w:rFonts w:ascii="Times New Roman" w:hAnsi="Times New Roman"/>
          <w:sz w:val="24"/>
          <w:szCs w:val="24"/>
        </w:rPr>
        <w:t xml:space="preserve"> („Službeni glasnik Međimurske županije“ broj </w:t>
      </w:r>
      <w:r w:rsidR="00B57D91">
        <w:rPr>
          <w:rFonts w:ascii="Times New Roman" w:hAnsi="Times New Roman"/>
          <w:sz w:val="24"/>
          <w:szCs w:val="24"/>
        </w:rPr>
        <w:t>2/04, 7/04</w:t>
      </w:r>
      <w:r w:rsidRPr="003D7992">
        <w:rPr>
          <w:rFonts w:ascii="Times New Roman" w:hAnsi="Times New Roman"/>
          <w:sz w:val="24"/>
          <w:szCs w:val="24"/>
        </w:rPr>
        <w:t>),</w:t>
      </w:r>
      <w:r w:rsidR="00FF7F94">
        <w:rPr>
          <w:rFonts w:ascii="Times New Roman" w:hAnsi="Times New Roman"/>
          <w:sz w:val="24"/>
          <w:szCs w:val="24"/>
        </w:rPr>
        <w:t xml:space="preserve"> Zaključka</w:t>
      </w:r>
      <w:r w:rsidR="00B57D91">
        <w:rPr>
          <w:rFonts w:ascii="Times New Roman" w:hAnsi="Times New Roman"/>
          <w:sz w:val="24"/>
          <w:szCs w:val="24"/>
        </w:rPr>
        <w:t xml:space="preserve"> o korištenju grobne kuće,</w:t>
      </w:r>
      <w:r w:rsidR="00FF7F94">
        <w:rPr>
          <w:rFonts w:ascii="Times New Roman" w:hAnsi="Times New Roman"/>
          <w:sz w:val="24"/>
          <w:szCs w:val="24"/>
        </w:rPr>
        <w:t xml:space="preserve"> </w:t>
      </w:r>
      <w:r w:rsidRPr="003D7992">
        <w:rPr>
          <w:rFonts w:ascii="Times New Roman" w:hAnsi="Times New Roman"/>
          <w:sz w:val="24"/>
          <w:szCs w:val="24"/>
        </w:rPr>
        <w:t>Odluk</w:t>
      </w:r>
      <w:r w:rsidR="00B57D91">
        <w:rPr>
          <w:rFonts w:ascii="Times New Roman" w:hAnsi="Times New Roman"/>
          <w:sz w:val="24"/>
          <w:szCs w:val="24"/>
        </w:rPr>
        <w:t>a</w:t>
      </w:r>
      <w:r w:rsidRPr="003D7992">
        <w:rPr>
          <w:rFonts w:ascii="Times New Roman" w:hAnsi="Times New Roman"/>
          <w:sz w:val="24"/>
          <w:szCs w:val="24"/>
        </w:rPr>
        <w:t xml:space="preserve"> o povećanju naknade za korištenje grobnog mjesta („Službeni glasnik Međimurske županije“ broj 8/08)</w:t>
      </w:r>
      <w:r w:rsidR="00B57D91">
        <w:rPr>
          <w:rFonts w:ascii="Times New Roman" w:hAnsi="Times New Roman"/>
          <w:sz w:val="24"/>
          <w:szCs w:val="24"/>
        </w:rPr>
        <w:t xml:space="preserve"> te</w:t>
      </w:r>
      <w:r w:rsidRPr="003D7992">
        <w:rPr>
          <w:rFonts w:ascii="Times New Roman" w:hAnsi="Times New Roman"/>
          <w:sz w:val="24"/>
          <w:szCs w:val="24"/>
        </w:rPr>
        <w:t xml:space="preserve"> Odluka o određivanju visine naknade za</w:t>
      </w:r>
      <w:r w:rsidR="00B57D91">
        <w:rPr>
          <w:rFonts w:ascii="Times New Roman" w:hAnsi="Times New Roman"/>
          <w:sz w:val="24"/>
          <w:szCs w:val="24"/>
        </w:rPr>
        <w:t xml:space="preserve"> </w:t>
      </w:r>
      <w:r w:rsidRPr="003D7992">
        <w:rPr>
          <w:rFonts w:ascii="Times New Roman" w:hAnsi="Times New Roman"/>
          <w:sz w:val="24"/>
          <w:szCs w:val="24"/>
        </w:rPr>
        <w:t>izdavanje odobrenja za izgradnju ili rekonstrukciju nadgrobnog spomenika („Službeni glasnik Međimurske županije“ broj 23/09)</w:t>
      </w:r>
      <w:r w:rsidR="00B57D91">
        <w:rPr>
          <w:rFonts w:ascii="Times New Roman" w:hAnsi="Times New Roman"/>
          <w:sz w:val="24"/>
          <w:szCs w:val="24"/>
        </w:rPr>
        <w:t xml:space="preserve"> .</w:t>
      </w:r>
    </w:p>
    <w:p w14:paraId="3E9DF2B5" w14:textId="3B12F6B8" w:rsidR="00B57917" w:rsidRPr="003D7992" w:rsidRDefault="00B57917" w:rsidP="004E2171">
      <w:pPr>
        <w:pStyle w:val="Bezproreda"/>
        <w:rPr>
          <w:rFonts w:ascii="Times New Roman" w:hAnsi="Times New Roman"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</w:p>
    <w:p w14:paraId="7473D0E0" w14:textId="671BB6A4" w:rsidR="00B57917" w:rsidRDefault="00B57917" w:rsidP="004E217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2171" w:rsidRPr="003D7992">
        <w:rPr>
          <w:rFonts w:ascii="Times New Roman" w:hAnsi="Times New Roman"/>
          <w:b/>
          <w:bCs/>
          <w:sz w:val="24"/>
          <w:szCs w:val="24"/>
        </w:rPr>
        <w:t xml:space="preserve">               Članak </w:t>
      </w:r>
      <w:r w:rsidR="003D7992" w:rsidRPr="003D7992">
        <w:rPr>
          <w:rFonts w:ascii="Times New Roman" w:hAnsi="Times New Roman"/>
          <w:b/>
          <w:bCs/>
          <w:sz w:val="24"/>
          <w:szCs w:val="24"/>
        </w:rPr>
        <w:t>6</w:t>
      </w:r>
      <w:r w:rsidR="004E2171" w:rsidRPr="003D7992">
        <w:rPr>
          <w:rFonts w:ascii="Times New Roman" w:hAnsi="Times New Roman"/>
          <w:b/>
          <w:bCs/>
          <w:sz w:val="24"/>
          <w:szCs w:val="24"/>
        </w:rPr>
        <w:t>.</w:t>
      </w:r>
    </w:p>
    <w:p w14:paraId="4B932C2F" w14:textId="49BA44B8" w:rsidR="003D7992" w:rsidRDefault="003D7992" w:rsidP="003D799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D7992">
        <w:rPr>
          <w:rFonts w:ascii="Times New Roman" w:hAnsi="Times New Roman" w:cs="Times New Roman"/>
          <w:sz w:val="24"/>
          <w:szCs w:val="24"/>
        </w:rPr>
        <w:t>Ova Odluka o visin</w:t>
      </w:r>
      <w:r w:rsidR="005C7D7C">
        <w:rPr>
          <w:rFonts w:ascii="Times New Roman" w:hAnsi="Times New Roman" w:cs="Times New Roman"/>
          <w:sz w:val="24"/>
          <w:szCs w:val="24"/>
        </w:rPr>
        <w:t>i grobnih naknada na mjesnom groblju</w:t>
      </w:r>
      <w:r w:rsidRPr="003D7992">
        <w:rPr>
          <w:rFonts w:ascii="Times New Roman" w:hAnsi="Times New Roman" w:cs="Times New Roman"/>
          <w:sz w:val="24"/>
          <w:szCs w:val="24"/>
        </w:rPr>
        <w:t xml:space="preserve"> Dekanovec objavit će se u „Službenom glasniku Međimurske županije“, a stupa na snagu 1. siječnja 2026. godine.  </w:t>
      </w:r>
    </w:p>
    <w:p w14:paraId="453F98EC" w14:textId="77777777" w:rsidR="00B57D91" w:rsidRDefault="00B57D91" w:rsidP="003D799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5DDA6D5E" w14:textId="77777777" w:rsidR="00B57D91" w:rsidRPr="003D7992" w:rsidRDefault="00B57D91" w:rsidP="003D799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812E1CF" w14:textId="77777777" w:rsidR="003D7992" w:rsidRPr="003D7992" w:rsidRDefault="003D7992" w:rsidP="003D799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376DC121" w14:textId="77777777" w:rsidR="003D7992" w:rsidRPr="003D7992" w:rsidRDefault="003D7992" w:rsidP="003D799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896DD4B" w14:textId="77777777" w:rsidR="003D7992" w:rsidRPr="003D7992" w:rsidRDefault="003D7992" w:rsidP="003D7992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D7992">
        <w:rPr>
          <w:rFonts w:ascii="Times New Roman" w:hAnsi="Times New Roman" w:cs="Times New Roman"/>
          <w:b/>
          <w:sz w:val="24"/>
          <w:szCs w:val="24"/>
          <w:lang w:val="en-US"/>
        </w:rPr>
        <w:t>PREDSJEDNICA OPĆINSKOG VIJEĆA</w:t>
      </w:r>
    </w:p>
    <w:p w14:paraId="1EB4329B" w14:textId="77777777" w:rsidR="003D7992" w:rsidRPr="003D7992" w:rsidRDefault="003D7992" w:rsidP="003D7992">
      <w:pPr>
        <w:spacing w:after="0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2062C2B" w14:textId="1F4317EE" w:rsidR="003D7992" w:rsidRPr="003D7992" w:rsidRDefault="003D7992" w:rsidP="003D7992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D799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</w:t>
      </w:r>
      <w:r w:rsidRPr="003D799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3D799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3D799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3D799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3D799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3D7992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Mišela Božić</w:t>
      </w:r>
      <w:r w:rsidRPr="003D799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</w:t>
      </w:r>
    </w:p>
    <w:p w14:paraId="055F6D84" w14:textId="41D92884" w:rsidR="00B57917" w:rsidRPr="003D7992" w:rsidRDefault="00B57917" w:rsidP="004E2171">
      <w:pPr>
        <w:pStyle w:val="Bezproreda"/>
        <w:rPr>
          <w:rFonts w:ascii="Times New Roman" w:hAnsi="Times New Roman"/>
          <w:sz w:val="24"/>
          <w:szCs w:val="24"/>
        </w:rPr>
      </w:pPr>
    </w:p>
    <w:p w14:paraId="74D7846E" w14:textId="3BE4DA01" w:rsidR="003D7992" w:rsidRPr="003D7992" w:rsidRDefault="00B57917" w:rsidP="003D7992">
      <w:pPr>
        <w:pStyle w:val="Bezproreda"/>
        <w:rPr>
          <w:rFonts w:ascii="Times New Roman" w:hAnsi="Times New Roman"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="004E2171" w:rsidRPr="003D7992">
        <w:rPr>
          <w:rFonts w:ascii="Times New Roman" w:hAnsi="Times New Roman"/>
          <w:sz w:val="24"/>
          <w:szCs w:val="24"/>
        </w:rPr>
        <w:t xml:space="preserve">  </w:t>
      </w:r>
      <w:r w:rsidRPr="003D7992">
        <w:rPr>
          <w:rFonts w:ascii="Times New Roman" w:hAnsi="Times New Roman"/>
          <w:sz w:val="24"/>
          <w:szCs w:val="24"/>
        </w:rPr>
        <w:tab/>
      </w:r>
    </w:p>
    <w:p w14:paraId="38F90944" w14:textId="2DD3EFA2" w:rsidR="00B57917" w:rsidRPr="003D7992" w:rsidRDefault="00B57917" w:rsidP="004E2171">
      <w:pPr>
        <w:pStyle w:val="Bezproreda"/>
        <w:rPr>
          <w:rFonts w:ascii="Times New Roman" w:hAnsi="Times New Roman"/>
          <w:b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ab/>
      </w:r>
    </w:p>
    <w:p w14:paraId="44E544E7" w14:textId="77777777" w:rsidR="00B57917" w:rsidRPr="003D7992" w:rsidRDefault="00B57917" w:rsidP="004E2171">
      <w:pPr>
        <w:pStyle w:val="Bezproreda"/>
        <w:rPr>
          <w:rFonts w:ascii="Times New Roman" w:hAnsi="Times New Roman"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ab/>
      </w:r>
    </w:p>
    <w:p w14:paraId="1B9E480B" w14:textId="558C1CB2" w:rsidR="00B57917" w:rsidRPr="003D7992" w:rsidRDefault="00B57917" w:rsidP="003D7992">
      <w:pPr>
        <w:pStyle w:val="Bezproreda"/>
        <w:rPr>
          <w:rFonts w:ascii="Times New Roman" w:hAnsi="Times New Roman"/>
          <w:sz w:val="24"/>
          <w:szCs w:val="24"/>
        </w:rPr>
      </w:pP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  <w:r w:rsidRPr="003D7992">
        <w:rPr>
          <w:rFonts w:ascii="Times New Roman" w:hAnsi="Times New Roman"/>
          <w:sz w:val="24"/>
          <w:szCs w:val="24"/>
        </w:rPr>
        <w:tab/>
      </w:r>
    </w:p>
    <w:p w14:paraId="221CF300" w14:textId="77777777" w:rsidR="00B57917" w:rsidRPr="003D7992" w:rsidRDefault="00B57917" w:rsidP="00D14A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101D8E" w14:textId="77777777" w:rsidR="00940662" w:rsidRPr="003D7992" w:rsidRDefault="00940662" w:rsidP="00D14A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431E8D" w14:textId="2491701C" w:rsidR="00D47DF5" w:rsidRPr="003D7992" w:rsidRDefault="00D47DF5" w:rsidP="00D47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86A30E" w14:textId="1A2A5BD4" w:rsidR="00592685" w:rsidRPr="003D7992" w:rsidRDefault="00592685" w:rsidP="00D47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11A4B6" w14:textId="77777777" w:rsidR="00592685" w:rsidRPr="003D7992" w:rsidRDefault="00592685" w:rsidP="00D47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0DAC79" w14:textId="3BE2EBCA" w:rsidR="00C90867" w:rsidRPr="003D7992" w:rsidRDefault="00C2112B" w:rsidP="00285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992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90867" w:rsidRPr="003D7992" w:rsidSect="001069C0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F2AE4"/>
    <w:multiLevelType w:val="hybridMultilevel"/>
    <w:tmpl w:val="C3A883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8796A"/>
    <w:multiLevelType w:val="hybridMultilevel"/>
    <w:tmpl w:val="3904A33C"/>
    <w:lvl w:ilvl="0" w:tplc="68B203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352EF"/>
    <w:multiLevelType w:val="hybridMultilevel"/>
    <w:tmpl w:val="B2F04D8C"/>
    <w:lvl w:ilvl="0" w:tplc="F1C487D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494"/>
    <w:multiLevelType w:val="hybridMultilevel"/>
    <w:tmpl w:val="D5D605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97077"/>
    <w:multiLevelType w:val="hybridMultilevel"/>
    <w:tmpl w:val="6794F352"/>
    <w:lvl w:ilvl="0" w:tplc="4426E2AC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7494CF0"/>
    <w:multiLevelType w:val="hybridMultilevel"/>
    <w:tmpl w:val="C80026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F7C2A"/>
    <w:multiLevelType w:val="hybridMultilevel"/>
    <w:tmpl w:val="06C2B80E"/>
    <w:lvl w:ilvl="0" w:tplc="4C6080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831023">
    <w:abstractNumId w:val="0"/>
  </w:num>
  <w:num w:numId="2" w16cid:durableId="906691810">
    <w:abstractNumId w:val="5"/>
  </w:num>
  <w:num w:numId="3" w16cid:durableId="1075976030">
    <w:abstractNumId w:val="3"/>
  </w:num>
  <w:num w:numId="4" w16cid:durableId="1199470144">
    <w:abstractNumId w:val="6"/>
  </w:num>
  <w:num w:numId="5" w16cid:durableId="1997881211">
    <w:abstractNumId w:val="4"/>
  </w:num>
  <w:num w:numId="6" w16cid:durableId="1675962156">
    <w:abstractNumId w:val="1"/>
  </w:num>
  <w:num w:numId="7" w16cid:durableId="575361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A5D"/>
    <w:rsid w:val="00050D50"/>
    <w:rsid w:val="0005736B"/>
    <w:rsid w:val="00080DBD"/>
    <w:rsid w:val="000D64F3"/>
    <w:rsid w:val="000F27E8"/>
    <w:rsid w:val="001069C0"/>
    <w:rsid w:val="00113C6A"/>
    <w:rsid w:val="00115034"/>
    <w:rsid w:val="001178D4"/>
    <w:rsid w:val="0014311C"/>
    <w:rsid w:val="00145FEA"/>
    <w:rsid w:val="00170852"/>
    <w:rsid w:val="00194BF2"/>
    <w:rsid w:val="001B1743"/>
    <w:rsid w:val="002179F1"/>
    <w:rsid w:val="00243BCF"/>
    <w:rsid w:val="002852C8"/>
    <w:rsid w:val="00285691"/>
    <w:rsid w:val="002B11B7"/>
    <w:rsid w:val="002D75CB"/>
    <w:rsid w:val="002E23CE"/>
    <w:rsid w:val="002F35EB"/>
    <w:rsid w:val="00321A4A"/>
    <w:rsid w:val="00345A3E"/>
    <w:rsid w:val="00355E02"/>
    <w:rsid w:val="00361741"/>
    <w:rsid w:val="003772CD"/>
    <w:rsid w:val="00383CCB"/>
    <w:rsid w:val="00387437"/>
    <w:rsid w:val="0039004F"/>
    <w:rsid w:val="00394D9A"/>
    <w:rsid w:val="003D7992"/>
    <w:rsid w:val="004039B5"/>
    <w:rsid w:val="00434954"/>
    <w:rsid w:val="0045494C"/>
    <w:rsid w:val="004927AB"/>
    <w:rsid w:val="00495B34"/>
    <w:rsid w:val="004B4D54"/>
    <w:rsid w:val="004D34D2"/>
    <w:rsid w:val="004D6DFF"/>
    <w:rsid w:val="004E2171"/>
    <w:rsid w:val="004E65C6"/>
    <w:rsid w:val="005042D3"/>
    <w:rsid w:val="00507CCB"/>
    <w:rsid w:val="00551EC5"/>
    <w:rsid w:val="005767F0"/>
    <w:rsid w:val="00592685"/>
    <w:rsid w:val="005C7D7C"/>
    <w:rsid w:val="0061115C"/>
    <w:rsid w:val="00637D57"/>
    <w:rsid w:val="006424A0"/>
    <w:rsid w:val="006443C4"/>
    <w:rsid w:val="00674FF4"/>
    <w:rsid w:val="006825AC"/>
    <w:rsid w:val="006E18F2"/>
    <w:rsid w:val="00706070"/>
    <w:rsid w:val="007A2093"/>
    <w:rsid w:val="007F0AB0"/>
    <w:rsid w:val="007F428F"/>
    <w:rsid w:val="00817EAF"/>
    <w:rsid w:val="00841886"/>
    <w:rsid w:val="008437E7"/>
    <w:rsid w:val="00865DC5"/>
    <w:rsid w:val="008760BC"/>
    <w:rsid w:val="0089540A"/>
    <w:rsid w:val="008A1BB2"/>
    <w:rsid w:val="008B1E85"/>
    <w:rsid w:val="008C249A"/>
    <w:rsid w:val="008F3B6B"/>
    <w:rsid w:val="00933151"/>
    <w:rsid w:val="0093634E"/>
    <w:rsid w:val="00940662"/>
    <w:rsid w:val="0096134D"/>
    <w:rsid w:val="00990299"/>
    <w:rsid w:val="009A1C14"/>
    <w:rsid w:val="009B4DEC"/>
    <w:rsid w:val="00A1635D"/>
    <w:rsid w:val="00A25D8D"/>
    <w:rsid w:val="00A31FD2"/>
    <w:rsid w:val="00A71BC3"/>
    <w:rsid w:val="00A849DE"/>
    <w:rsid w:val="00B07B49"/>
    <w:rsid w:val="00B140C2"/>
    <w:rsid w:val="00B31391"/>
    <w:rsid w:val="00B538D1"/>
    <w:rsid w:val="00B57917"/>
    <w:rsid w:val="00B57D91"/>
    <w:rsid w:val="00BA7CAC"/>
    <w:rsid w:val="00BC6239"/>
    <w:rsid w:val="00C06463"/>
    <w:rsid w:val="00C2112B"/>
    <w:rsid w:val="00C45503"/>
    <w:rsid w:val="00C50796"/>
    <w:rsid w:val="00C90867"/>
    <w:rsid w:val="00CF4892"/>
    <w:rsid w:val="00D14A5D"/>
    <w:rsid w:val="00D37882"/>
    <w:rsid w:val="00D47717"/>
    <w:rsid w:val="00D47DF5"/>
    <w:rsid w:val="00D52EA3"/>
    <w:rsid w:val="00D96882"/>
    <w:rsid w:val="00DB1EB6"/>
    <w:rsid w:val="00DD0EF0"/>
    <w:rsid w:val="00DE78A2"/>
    <w:rsid w:val="00E35B35"/>
    <w:rsid w:val="00EA0475"/>
    <w:rsid w:val="00EB6638"/>
    <w:rsid w:val="00F24075"/>
    <w:rsid w:val="00F4484F"/>
    <w:rsid w:val="00F4638E"/>
    <w:rsid w:val="00F75BEB"/>
    <w:rsid w:val="00FB633E"/>
    <w:rsid w:val="00FC07B9"/>
    <w:rsid w:val="00FD7150"/>
    <w:rsid w:val="00FE7965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11BB"/>
  <w15:chartTrackingRefBased/>
  <w15:docId w15:val="{B80663C1-F45F-48C6-A0EF-15E48EB2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5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2E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1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1886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E35B3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35B3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35B3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35B3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35B35"/>
    <w:rPr>
      <w:b/>
      <w:bCs/>
      <w:sz w:val="20"/>
      <w:szCs w:val="20"/>
    </w:rPr>
  </w:style>
  <w:style w:type="paragraph" w:styleId="Bezproreda">
    <w:name w:val="No Spacing"/>
    <w:qFormat/>
    <w:rsid w:val="002179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378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403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Dekanovec</cp:lastModifiedBy>
  <cp:revision>25</cp:revision>
  <cp:lastPrinted>2025-10-23T06:49:00Z</cp:lastPrinted>
  <dcterms:created xsi:type="dcterms:W3CDTF">2025-09-24T09:54:00Z</dcterms:created>
  <dcterms:modified xsi:type="dcterms:W3CDTF">2025-10-24T05:55:00Z</dcterms:modified>
</cp:coreProperties>
</file>